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eastAsia="zh-CN"/>
        </w:rPr>
        <w:t>2</w:t>
      </w:r>
      <w:r>
        <w:rPr>
          <w:rFonts w:hint="eastAsia"/>
          <w:b/>
          <w:sz w:val="24"/>
          <w:highlight w:val="none"/>
          <w:lang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bookmarkStart w:id="12" w:name="_GoBack"/>
      <w:bookmarkEnd w:id="12"/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4476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August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i/>
                <w:kern w:val="2"/>
                <w:sz w:val="14"/>
                <w:szCs w:val="22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kern w:val="2"/>
                <w:sz w:val="32"/>
                <w:szCs w:val="2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kern w:val="2"/>
                <w:sz w:val="28"/>
                <w:szCs w:val="22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  <w:highlight w:val="none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kern w:val="2"/>
                <w:sz w:val="28"/>
                <w:szCs w:val="22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 w:eastAsiaTheme="minorEastAsia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1294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bCs/>
                <w:kern w:val="2"/>
                <w:sz w:val="28"/>
                <w:szCs w:val="22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kern w:val="2"/>
                <w:sz w:val="21"/>
                <w:szCs w:val="22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  <w:highlight w:val="none"/>
              </w:rPr>
              <w:t>-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kern w:val="2"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kern w:val="2"/>
                <w:sz w:val="28"/>
                <w:szCs w:val="22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  <w:highlight w:val="none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eastAsia="zh-CN"/>
              </w:rPr>
              <w:t>7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eastAsia="zh-CN"/>
              </w:rPr>
              <w:t>1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t>.0</w:t>
            </w:r>
            <w:r>
              <w:rPr>
                <w:b/>
                <w:kern w:val="2"/>
                <w:sz w:val="28"/>
                <w:szCs w:val="22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  <w:highlight w:val="none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  <w:highlight w:val="none"/>
              </w:rPr>
              <w:t>http://www.3gpp.org/Change-Requests</w:t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  <w:highlight w:val="none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highlight w:val="none"/>
                <w:u w:val="singl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highlight w:val="none"/>
                <w:u w:val="singl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 xml:space="preserve">Addition of Configured Tx Power Minimum Conformance Requirements for 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n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41 Power Class 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  <w:lang w:eastAsia="zh-CN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LTE_NR_B41_Bn41_PC29dBm-UEConTest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  <w:lang w:eastAsia="zh-CN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2021-0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7</w:t>
            </w:r>
            <w:r>
              <w:rPr>
                <w:kern w:val="2"/>
                <w:sz w:val="21"/>
                <w:szCs w:val="22"/>
                <w:highlight w:val="none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2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  <w:kern w:val="2"/>
                <w:sz w:val="21"/>
                <w:szCs w:val="22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  <w:highlight w:val="none"/>
              </w:rPr>
              <w:t>F</w:t>
            </w:r>
            <w:r>
              <w:rPr>
                <w:b/>
                <w:kern w:val="2"/>
                <w:sz w:val="21"/>
                <w:szCs w:val="22"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  <w:lang w:eastAsia="zh-CN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kern w:val="2"/>
                <w:sz w:val="18"/>
                <w:szCs w:val="22"/>
                <w:highlight w:val="none"/>
              </w:rPr>
            </w:pP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highlight w:val="none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F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A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release)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B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C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  <w:highlight w:val="none"/>
              </w:rPr>
              <w:t>D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 (editorial modification)</w:t>
            </w:r>
          </w:p>
          <w:p>
            <w:pPr>
              <w:pStyle w:val="115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18"/>
                <w:szCs w:val="22"/>
                <w:highlight w:val="none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kern w:val="2"/>
                <w:sz w:val="18"/>
                <w:szCs w:val="22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79"/>
                <w:kern w:val="2"/>
                <w:sz w:val="18"/>
                <w:szCs w:val="22"/>
                <w:highlight w:val="none"/>
              </w:rPr>
              <w:t>TR 21.900</w:t>
            </w:r>
            <w:r>
              <w:rPr>
                <w:rStyle w:val="79"/>
                <w:kern w:val="2"/>
                <w:sz w:val="18"/>
                <w:szCs w:val="22"/>
                <w:highlight w:val="none"/>
              </w:rPr>
              <w:fldChar w:fldCharType="end"/>
            </w:r>
            <w:r>
              <w:rPr>
                <w:kern w:val="2"/>
                <w:sz w:val="18"/>
                <w:szCs w:val="22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  <w:highlight w:val="none"/>
              </w:rPr>
            </w:pP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highlight w:val="none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Rel-8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8)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Rel-9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9)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Rel-10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10)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Rel-11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11)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…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Rel-15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15)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Rel-16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16)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Rel-17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17)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br w:type="textWrapping"/>
            </w:r>
            <w:r>
              <w:rPr>
                <w:i/>
                <w:kern w:val="2"/>
                <w:sz w:val="18"/>
                <w:szCs w:val="22"/>
                <w:highlight w:val="none"/>
              </w:rPr>
              <w:t>Rel-18</w:t>
            </w:r>
            <w:r>
              <w:rPr>
                <w:i/>
                <w:kern w:val="2"/>
                <w:sz w:val="18"/>
                <w:szCs w:val="22"/>
                <w:highlight w:val="none"/>
              </w:rPr>
              <w:tab/>
            </w:r>
            <w:r>
              <w:rPr>
                <w:i/>
                <w:kern w:val="2"/>
                <w:sz w:val="18"/>
                <w:szCs w:val="22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Reason for change:</w:t>
            </w: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 xml:space="preserve">Configured Tx Power Minimum Conformance Requirements for 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n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41 Power Class 1.5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kern w:val="2"/>
                <w:sz w:val="21"/>
                <w:szCs w:val="22"/>
                <w:highlight w:val="none"/>
              </w:rPr>
              <w:t xml:space="preserve">need to be 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 xml:space="preserve">Configured Tx Power Minimum Conformance Requirements for 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n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41 Power Class 1.5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 xml:space="preserve"> has</w:t>
            </w:r>
            <w:r>
              <w:rPr>
                <w:kern w:val="2"/>
                <w:sz w:val="21"/>
                <w:szCs w:val="22"/>
                <w:highlight w:val="none"/>
              </w:rPr>
              <w:t xml:space="preserve"> be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en</w:t>
            </w:r>
            <w:r>
              <w:rPr>
                <w:kern w:val="2"/>
                <w:sz w:val="21"/>
                <w:szCs w:val="22"/>
                <w:highlight w:val="none"/>
              </w:rPr>
              <w:t xml:space="preserve"> 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eastAsia="zh-CN"/>
              </w:rPr>
              <w:t>updat</w:t>
            </w:r>
            <w:r>
              <w:rPr>
                <w:kern w:val="2"/>
                <w:sz w:val="21"/>
                <w:szCs w:val="22"/>
                <w:highlight w:val="none"/>
              </w:rPr>
              <w:t>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</w:rPr>
              <w:t xml:space="preserve">The WP can not be </w:t>
            </w: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completed</w:t>
            </w:r>
            <w:r>
              <w:rPr>
                <w:rFonts w:hint="eastAsia"/>
                <w:kern w:val="2"/>
                <w:sz w:val="21"/>
                <w:szCs w:val="22"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highlight w:val="none"/>
                <w:lang w:val="en-US" w:eastAsia="zh-CN"/>
              </w:rPr>
              <w:t>6.2.4.3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caps/>
                <w:kern w:val="2"/>
                <w:sz w:val="21"/>
                <w:szCs w:val="22"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caps/>
                <w:kern w:val="2"/>
                <w:sz w:val="21"/>
                <w:szCs w:val="22"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  <w:highlight w:val="none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  <w:highlight w:val="none"/>
              </w:rPr>
            </w:pPr>
            <w:r>
              <w:rPr>
                <w:kern w:val="2"/>
                <w:sz w:val="21"/>
                <w:szCs w:val="22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kern w:val="2"/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  <w:highlight w:val="none"/>
              </w:rPr>
            </w:pPr>
            <w:r>
              <w:rPr>
                <w:b/>
                <w:i/>
                <w:kern w:val="2"/>
                <w:sz w:val="21"/>
                <w:szCs w:val="22"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highlight w:val="none"/>
              </w:rPr>
            </w:pPr>
          </w:p>
        </w:tc>
      </w:tr>
    </w:tbl>
    <w:p>
      <w:pPr>
        <w:pStyle w:val="115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  <w:rPr>
          <w:highlight w:val="none"/>
        </w:rPr>
      </w:pPr>
      <w:bookmarkStart w:id="3" w:name="_Toc60825055"/>
      <w:bookmarkStart w:id="4" w:name="_Toc44323769"/>
      <w:bookmarkStart w:id="5" w:name="_Toc52989937"/>
      <w:bookmarkStart w:id="6" w:name="_Toc60823133"/>
      <w:bookmarkStart w:id="7" w:name="_Toc36226512"/>
      <w:bookmarkStart w:id="8" w:name="_Toc69309781"/>
      <w:bookmarkStart w:id="9" w:name="_Toc27477828"/>
      <w:bookmarkStart w:id="10" w:name="_Toc69305952"/>
      <w:bookmarkStart w:id="11" w:name="_Toc76020093"/>
      <w:r>
        <w:rPr>
          <w:highlight w:val="none"/>
        </w:rPr>
        <w:t>6.2.4.3</w:t>
      </w:r>
      <w:r>
        <w:rPr>
          <w:highlight w:val="none"/>
        </w:rPr>
        <w:tab/>
      </w:r>
      <w:r>
        <w:rPr>
          <w:highlight w:val="none"/>
        </w:rPr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The UE is allowed to set its configured maximum output power P</w:t>
      </w:r>
      <w:r>
        <w:rPr>
          <w:highlight w:val="none"/>
          <w:vertAlign w:val="subscript"/>
          <w:lang w:eastAsia="zh-CN"/>
        </w:rPr>
        <w:t>CMAX,f,c</w:t>
      </w:r>
      <w:r>
        <w:rPr>
          <w:highlight w:val="none"/>
          <w:lang w:eastAsia="zh-CN"/>
        </w:rPr>
        <w:t xml:space="preserve"> for carrier f of serving cell c in each slot. The configured maximum output power P</w:t>
      </w:r>
      <w:r>
        <w:rPr>
          <w:highlight w:val="none"/>
          <w:vertAlign w:val="subscript"/>
          <w:lang w:eastAsia="zh-CN"/>
        </w:rPr>
        <w:t>CMAX,f,c</w:t>
      </w:r>
      <w:r>
        <w:rPr>
          <w:highlight w:val="none"/>
          <w:lang w:eastAsia="zh-CN"/>
        </w:rPr>
        <w:t xml:space="preserve"> is set within the following bounds:</w:t>
      </w:r>
    </w:p>
    <w:p>
      <w:pPr>
        <w:pStyle w:val="96"/>
        <w:jc w:val="center"/>
        <w:rPr>
          <w:highlight w:val="none"/>
          <w:lang w:eastAsia="zh-CN"/>
        </w:rPr>
      </w:pPr>
      <w:r>
        <w:rPr>
          <w:highlight w:val="none"/>
          <w:lang w:eastAsia="zh-CN"/>
        </w:rPr>
        <w:t>P</w:t>
      </w:r>
      <w:r>
        <w:rPr>
          <w:highlight w:val="none"/>
          <w:vertAlign w:val="subscript"/>
          <w:lang w:eastAsia="zh-CN"/>
        </w:rPr>
        <w:t>CMAX_L,f,c</w:t>
      </w:r>
      <w:r>
        <w:rPr>
          <w:highlight w:val="none"/>
          <w:lang w:eastAsia="zh-CN"/>
        </w:rPr>
        <w:t xml:space="preserve"> ≤  P</w:t>
      </w:r>
      <w:r>
        <w:rPr>
          <w:highlight w:val="none"/>
          <w:vertAlign w:val="subscript"/>
          <w:lang w:eastAsia="zh-CN"/>
        </w:rPr>
        <w:t>CMAX,f,c</w:t>
      </w:r>
      <w:r>
        <w:rPr>
          <w:highlight w:val="none"/>
          <w:lang w:eastAsia="zh-CN"/>
        </w:rPr>
        <w:t xml:space="preserve">  ≤  P</w:t>
      </w:r>
      <w:r>
        <w:rPr>
          <w:highlight w:val="none"/>
          <w:vertAlign w:val="subscript"/>
          <w:lang w:eastAsia="zh-CN"/>
        </w:rPr>
        <w:t>CMAX_H,f,c</w:t>
      </w:r>
      <w:r>
        <w:rPr>
          <w:highlight w:val="none"/>
          <w:lang w:eastAsia="zh-CN"/>
        </w:rPr>
        <w:t xml:space="preserve"> with</w:t>
      </w:r>
    </w:p>
    <w:p>
      <w:pPr>
        <w:pStyle w:val="96"/>
        <w:jc w:val="center"/>
        <w:rPr>
          <w:highlight w:val="none"/>
          <w:lang w:eastAsia="zh-CN"/>
        </w:rPr>
      </w:pP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P</w:t>
      </w:r>
      <w:r>
        <w:rPr>
          <w:highlight w:val="none"/>
          <w:vertAlign w:val="subscript"/>
          <w:lang w:eastAsia="zh-CN"/>
        </w:rPr>
        <w:t>CMAX_L,f,c</w:t>
      </w:r>
      <w:r>
        <w:rPr>
          <w:highlight w:val="none"/>
          <w:lang w:eastAsia="zh-CN"/>
        </w:rPr>
        <w:t xml:space="preserve"> = MIN {P</w:t>
      </w:r>
      <w:r>
        <w:rPr>
          <w:highlight w:val="none"/>
          <w:vertAlign w:val="subscript"/>
          <w:lang w:eastAsia="zh-CN"/>
        </w:rPr>
        <w:t>EMAX,c</w:t>
      </w:r>
      <w:r>
        <w:rPr>
          <w:highlight w:val="none"/>
          <w:lang w:eastAsia="zh-CN"/>
        </w:rPr>
        <w:t>– ∆T</w:t>
      </w:r>
      <w:r>
        <w:rPr>
          <w:highlight w:val="none"/>
          <w:vertAlign w:val="subscript"/>
          <w:lang w:eastAsia="zh-CN"/>
        </w:rPr>
        <w:t>C,c</w:t>
      </w:r>
      <w:r>
        <w:rPr>
          <w:highlight w:val="none"/>
          <w:lang w:eastAsia="zh-CN"/>
        </w:rPr>
        <w:t>,  (P</w:t>
      </w:r>
      <w:r>
        <w:rPr>
          <w:highlight w:val="none"/>
          <w:vertAlign w:val="subscript"/>
          <w:lang w:eastAsia="zh-CN"/>
        </w:rPr>
        <w:t>PowerClass</w:t>
      </w:r>
      <w:r>
        <w:rPr>
          <w:highlight w:val="none"/>
          <w:lang w:eastAsia="zh-CN"/>
        </w:rPr>
        <w:t xml:space="preserve"> – ΔP</w:t>
      </w:r>
      <w:r>
        <w:rPr>
          <w:highlight w:val="none"/>
          <w:vertAlign w:val="subscript"/>
          <w:lang w:eastAsia="zh-CN"/>
        </w:rPr>
        <w:t>PowerClass</w:t>
      </w:r>
      <w:r>
        <w:rPr>
          <w:highlight w:val="none"/>
          <w:lang w:eastAsia="zh-CN"/>
        </w:rPr>
        <w:t>) – MAX(MAX(MPR</w:t>
      </w:r>
      <w:r>
        <w:rPr>
          <w:highlight w:val="none"/>
          <w:vertAlign w:val="subscript"/>
          <w:lang w:eastAsia="zh-CN"/>
        </w:rPr>
        <w:t>c</w:t>
      </w:r>
      <w:r>
        <w:rPr>
          <w:highlight w:val="none"/>
          <w:lang w:eastAsia="zh-CN"/>
        </w:rPr>
        <w:t>+∆MPR</w:t>
      </w:r>
      <w:r>
        <w:rPr>
          <w:highlight w:val="none"/>
          <w:vertAlign w:val="subscript"/>
          <w:lang w:eastAsia="zh-CN"/>
        </w:rPr>
        <w:t>c</w:t>
      </w:r>
      <w:r>
        <w:rPr>
          <w:highlight w:val="none"/>
          <w:lang w:eastAsia="zh-CN"/>
        </w:rPr>
        <w:t>, A-MPR</w:t>
      </w:r>
      <w:r>
        <w:rPr>
          <w:highlight w:val="none"/>
          <w:vertAlign w:val="subscript"/>
          <w:lang w:eastAsia="zh-CN"/>
        </w:rPr>
        <w:t>c</w:t>
      </w:r>
      <w:r>
        <w:rPr>
          <w:highlight w:val="none"/>
          <w:lang w:eastAsia="zh-CN"/>
        </w:rPr>
        <w:t>) + ΔT</w:t>
      </w:r>
      <w:r>
        <w:rPr>
          <w:highlight w:val="none"/>
          <w:vertAlign w:val="subscript"/>
          <w:lang w:eastAsia="zh-CN"/>
        </w:rPr>
        <w:t>IB,c</w:t>
      </w:r>
      <w:r>
        <w:rPr>
          <w:highlight w:val="none"/>
          <w:lang w:eastAsia="zh-CN"/>
        </w:rPr>
        <w:t xml:space="preserve"> + ∆T</w:t>
      </w:r>
      <w:r>
        <w:rPr>
          <w:highlight w:val="none"/>
          <w:vertAlign w:val="subscript"/>
          <w:lang w:eastAsia="zh-CN"/>
        </w:rPr>
        <w:t xml:space="preserve">C,c </w:t>
      </w:r>
      <w:r>
        <w:rPr>
          <w:highlight w:val="none"/>
          <w:lang w:eastAsia="zh-CN"/>
        </w:rPr>
        <w:t>+</w:t>
      </w:r>
      <w:r>
        <w:rPr>
          <w:highlight w:val="none"/>
          <w:vertAlign w:val="subscript"/>
          <w:lang w:eastAsia="zh-CN"/>
        </w:rPr>
        <w:t xml:space="preserve"> </w:t>
      </w:r>
      <w:r>
        <w:rPr>
          <w:highlight w:val="none"/>
        </w:rPr>
        <w:t>∆T</w:t>
      </w:r>
      <w:r>
        <w:rPr>
          <w:highlight w:val="none"/>
          <w:vertAlign w:val="subscript"/>
          <w:lang w:eastAsia="zh-CN"/>
        </w:rPr>
        <w:t>RxSRS</w:t>
      </w:r>
      <w:r>
        <w:rPr>
          <w:highlight w:val="none"/>
          <w:lang w:eastAsia="zh-CN"/>
        </w:rPr>
        <w:t>, P-MPR</w:t>
      </w:r>
      <w:r>
        <w:rPr>
          <w:highlight w:val="none"/>
          <w:vertAlign w:val="subscript"/>
          <w:lang w:eastAsia="zh-CN"/>
        </w:rPr>
        <w:t>c</w:t>
      </w:r>
      <w:r>
        <w:rPr>
          <w:highlight w:val="none"/>
          <w:lang w:eastAsia="zh-CN"/>
        </w:rPr>
        <w:t>) }</w:t>
      </w:r>
    </w:p>
    <w:p>
      <w:pPr>
        <w:pStyle w:val="96"/>
        <w:jc w:val="center"/>
        <w:rPr>
          <w:highlight w:val="none"/>
          <w:lang w:eastAsia="zh-CN"/>
        </w:rPr>
      </w:pPr>
      <w:r>
        <w:rPr>
          <w:highlight w:val="none"/>
          <w:lang w:eastAsia="zh-CN"/>
        </w:rPr>
        <w:t>P</w:t>
      </w:r>
      <w:r>
        <w:rPr>
          <w:highlight w:val="none"/>
          <w:vertAlign w:val="subscript"/>
          <w:lang w:eastAsia="zh-CN"/>
        </w:rPr>
        <w:t>CMAX_H,f,c</w:t>
      </w:r>
      <w:r>
        <w:rPr>
          <w:highlight w:val="none"/>
          <w:lang w:eastAsia="zh-CN"/>
        </w:rPr>
        <w:t xml:space="preserve"> = MIN {P</w:t>
      </w:r>
      <w:r>
        <w:rPr>
          <w:highlight w:val="none"/>
          <w:vertAlign w:val="subscript"/>
          <w:lang w:eastAsia="zh-CN"/>
        </w:rPr>
        <w:t>EMAX,c</w:t>
      </w:r>
      <w:r>
        <w:rPr>
          <w:highlight w:val="none"/>
          <w:lang w:eastAsia="zh-CN"/>
        </w:rPr>
        <w:t>,  P</w:t>
      </w:r>
      <w:r>
        <w:rPr>
          <w:highlight w:val="none"/>
          <w:vertAlign w:val="subscript"/>
          <w:lang w:eastAsia="zh-CN"/>
        </w:rPr>
        <w:t>PowerClass</w:t>
      </w:r>
      <w:r>
        <w:rPr>
          <w:highlight w:val="none"/>
          <w:lang w:eastAsia="zh-CN"/>
        </w:rPr>
        <w:t xml:space="preserve"> – ΔP</w:t>
      </w:r>
      <w:r>
        <w:rPr>
          <w:highlight w:val="none"/>
          <w:vertAlign w:val="subscript"/>
          <w:lang w:eastAsia="zh-CN"/>
        </w:rPr>
        <w:t>PowerClass</w:t>
      </w:r>
      <w:r>
        <w:rPr>
          <w:highlight w:val="none"/>
          <w:lang w:eastAsia="zh-CN"/>
        </w:rPr>
        <w:t xml:space="preserve"> }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where</w:t>
      </w:r>
    </w:p>
    <w:p>
      <w:pPr>
        <w:pStyle w:val="109"/>
        <w:rPr>
          <w:highlight w:val="none"/>
          <w:lang w:eastAsia="zh-CN"/>
        </w:rPr>
      </w:pPr>
      <w:r>
        <w:rPr>
          <w:highlight w:val="none"/>
          <w:lang w:eastAsia="zh-CN"/>
        </w:rPr>
        <w:t>P</w:t>
      </w:r>
      <w:r>
        <w:rPr>
          <w:highlight w:val="none"/>
          <w:vertAlign w:val="subscript"/>
          <w:lang w:eastAsia="zh-CN"/>
        </w:rPr>
        <w:t>EMAX,c</w:t>
      </w:r>
      <w:r>
        <w:rPr>
          <w:highlight w:val="none"/>
          <w:lang w:eastAsia="zh-CN"/>
        </w:rPr>
        <w:t xml:space="preserve"> is the value given by either the </w:t>
      </w:r>
      <w:r>
        <w:rPr>
          <w:i/>
          <w:highlight w:val="none"/>
          <w:lang w:eastAsia="zh-CN"/>
        </w:rPr>
        <w:t>p-Max</w:t>
      </w:r>
      <w:r>
        <w:rPr>
          <w:highlight w:val="none"/>
          <w:lang w:eastAsia="zh-CN"/>
        </w:rPr>
        <w:t xml:space="preserve"> IE or the field </w:t>
      </w:r>
      <w:r>
        <w:rPr>
          <w:i/>
          <w:highlight w:val="none"/>
          <w:lang w:eastAsia="zh-CN"/>
        </w:rPr>
        <w:t>additionalPmax</w:t>
      </w:r>
      <w:r>
        <w:rPr>
          <w:highlight w:val="none"/>
          <w:lang w:eastAsia="zh-CN"/>
        </w:rPr>
        <w:t xml:space="preserve"> of the </w:t>
      </w:r>
      <w:r>
        <w:rPr>
          <w:i/>
          <w:highlight w:val="none"/>
          <w:lang w:eastAsia="zh-CN"/>
        </w:rPr>
        <w:t>NR-NS-PmaxList IE</w:t>
      </w:r>
      <w:r>
        <w:rPr>
          <w:highlight w:val="none"/>
          <w:lang w:eastAsia="zh-CN"/>
        </w:rPr>
        <w:t>, whichever is applicable according to TS 38.331[7];</w:t>
      </w:r>
    </w:p>
    <w:p>
      <w:pPr>
        <w:pStyle w:val="109"/>
        <w:rPr>
          <w:highlight w:val="none"/>
        </w:rPr>
      </w:pPr>
      <w:r>
        <w:rPr>
          <w:highlight w:val="none"/>
        </w:rPr>
        <w:t>P</w:t>
      </w:r>
      <w:r>
        <w:rPr>
          <w:highlight w:val="none"/>
          <w:vertAlign w:val="subscript"/>
        </w:rPr>
        <w:t>PowerClass</w:t>
      </w:r>
      <w:r>
        <w:rPr>
          <w:highlight w:val="none"/>
        </w:rPr>
        <w:t xml:space="preserve"> is the maximum UE power specified in Table 6.2.1.3-1 without taking into account the tolerance specified in the Table 6.2.1.3-1; </w:t>
      </w:r>
    </w:p>
    <w:p>
      <w:pPr>
        <w:pStyle w:val="109"/>
        <w:rPr>
          <w:highlight w:val="none"/>
        </w:rPr>
      </w:pPr>
      <w:r>
        <w:rPr>
          <w:highlight w:val="none"/>
        </w:rPr>
        <w:t>When the IE powerBoostPi2BPSK is set to 1, P</w:t>
      </w:r>
      <w:r>
        <w:rPr>
          <w:highlight w:val="none"/>
          <w:vertAlign w:val="subscript"/>
        </w:rPr>
        <w:t>EMAX,c</w:t>
      </w:r>
      <w:r>
        <w:rPr>
          <w:highlight w:val="none"/>
        </w:rPr>
        <w:t xml:space="preserve"> is increased by +3 dB for a power class 3 capable UE operating in TDD bands n40, n41, n77, n78, and n79 with PI/2 BPSK modulation and UE indicates support for UE capability powerBoosting-pi2BPSK and </w:t>
      </w:r>
      <w:r>
        <w:rPr>
          <w:rFonts w:eastAsia="宋体"/>
          <w:highlight w:val="none"/>
        </w:rPr>
        <w:t>40% or less slots in radio frame are used for UL transmission</w:t>
      </w:r>
      <w:r>
        <w:rPr>
          <w:highlight w:val="none"/>
        </w:rPr>
        <w:t xml:space="preserve"> when P</w:t>
      </w:r>
      <w:r>
        <w:rPr>
          <w:highlight w:val="none"/>
          <w:vertAlign w:val="subscript"/>
        </w:rPr>
        <w:t>EMAX,c</w:t>
      </w:r>
      <w:r>
        <w:rPr>
          <w:highlight w:val="none"/>
        </w:rPr>
        <w:t xml:space="preserve"> ≥ 20 dBm (The exact evaluation period is no less than one radio frame).</w:t>
      </w:r>
    </w:p>
    <w:p>
      <w:pPr>
        <w:pStyle w:val="109"/>
        <w:rPr>
          <w:highlight w:val="none"/>
        </w:rPr>
      </w:pPr>
      <w:r>
        <w:rPr>
          <w:highlight w:val="none"/>
        </w:rPr>
        <w:t>When the IE powerBoostPi2BPSK is set to 1, ΔP</w:t>
      </w:r>
      <w:r>
        <w:rPr>
          <w:highlight w:val="none"/>
          <w:vertAlign w:val="subscript"/>
        </w:rPr>
        <w:t>PowerClass</w:t>
      </w:r>
      <w:r>
        <w:rPr>
          <w:highlight w:val="none"/>
        </w:rPr>
        <w:t xml:space="preserve"> = -3 dB for a power class 3 capable UE operating in TDD bands n40, n41, n77, n78, and n79 with PI/2 BPSK modulation and UE indicates support for UE capability powerBoosting-pi2BPSK and 4</w:t>
      </w:r>
      <w:r>
        <w:rPr>
          <w:rFonts w:eastAsia="宋体"/>
          <w:highlight w:val="none"/>
        </w:rPr>
        <w:t>0% or less slots in radio frame are used for UL transmission</w:t>
      </w:r>
      <w:r>
        <w:rPr>
          <w:highlight w:val="none"/>
        </w:rPr>
        <w:t>.</w:t>
      </w:r>
    </w:p>
    <w:p>
      <w:pPr>
        <w:pStyle w:val="109"/>
        <w:rPr>
          <w:highlight w:val="none"/>
        </w:rPr>
      </w:pPr>
      <w:r>
        <w:rPr>
          <w:highlight w:val="none"/>
        </w:rPr>
        <w:t>ΔP</w:t>
      </w:r>
      <w:r>
        <w:rPr>
          <w:highlight w:val="none"/>
          <w:vertAlign w:val="subscript"/>
        </w:rPr>
        <w:t>PowerClass</w:t>
      </w:r>
      <w:r>
        <w:rPr>
          <w:highlight w:val="none"/>
        </w:rPr>
        <w:t xml:space="preserve"> = 3 dB for a power class 2 capable UE</w:t>
      </w:r>
      <w:ins w:id="0" w:author="cmcc" w:date="2021-07-27T15:04:00Z">
        <w:r>
          <w:rPr>
            <w:highlight w:val="none"/>
            <w:lang w:eastAsia="zh-CN"/>
          </w:rPr>
          <w:t xml:space="preserve"> or 6 dB for a power class 1.5 UE</w:t>
        </w:r>
      </w:ins>
      <w:r>
        <w:rPr>
          <w:highlight w:val="none"/>
        </w:rPr>
        <w:t xml:space="preserve"> when P-max of 23 dBm or lower is indicated; or when the field of UE capability maxUplinkDutyCycle-PC2-FR1 is absent and the percentage of uplink symbols transmitted in a certain evaluation period is larger than 50%; or when the field of UE capability maxUplinkDutyCycle-PC2-FR1 is not absent and the percentage of uplink symbols transmitted in a certain evaluation period is larger than maxUplinkDutyCycle-PC2-FR1 as defined in TS 38.331 (The exact evaluation period is no less than one radio frame); </w:t>
      </w:r>
      <w:r>
        <w:rPr>
          <w:highlight w:val="none"/>
          <w:lang w:eastAsia="zh-CN"/>
        </w:rPr>
        <w:t>3 dB for a power class 1.5 capable UE when P-max of between 23 dBm and 26 dB is indicated; or when the field of UE capability maxUplinkDutyCycle-PC2-FR1 is absent and the percentage of uplink symbols transmitted in a certain evaluation period is between 25% and 50%; or when the field of UE capability maxUplinkDutyCycle-PC2-FR1 is not absent and the percentage of uplink symbols transmitted in a certain evaluation period is between maxUplinkDutyCycle-PC2-FR1 and maxUplinkDutyCycle-PC2-FR1/2 as defined in TS 38.331 (The exact evaluation period is no less than one radio frame);</w:t>
      </w:r>
      <w:r>
        <w:rPr>
          <w:rFonts w:hint="eastAsia"/>
          <w:highlight w:val="none"/>
          <w:lang w:val="en-US" w:eastAsia="zh-CN"/>
        </w:rPr>
        <w:t xml:space="preserve"> </w:t>
      </w:r>
      <w:ins w:id="1" w:author="cmcc" w:date="2021-07-27T15:05:00Z">
        <w:r>
          <w:rPr>
            <w:highlight w:val="none"/>
            <w:lang w:eastAsia="zh-CN"/>
          </w:rPr>
          <w:t>3 dB for a power class 1.5 capable UE when P-max of between 23 dBm and 26 dB is indicated; or when the field of UE capability maxUplinkDutyCycle-PC2-FR1 is absent and the percentage of uplink symbols transmitted in a certain evaluation period is between 25% and 50%; or when the field of UE capability maxUplinkDutyCycle-PC2-FR1 is not absent and the percentage of uplink symbols transmitted in a certain evaluation period is between maxUplinkDutyCycle-PC2-FR1 and maxUplinkDutyCycle-PC2-FR1/2 as defined in TS 38.331 (The exact evaluation period is no less than one radio frame);</w:t>
        </w:r>
      </w:ins>
      <w:ins w:id="2" w:author="cmcc" w:date="2021-07-27T15:05:00Z">
        <w:r>
          <w:rPr>
            <w:rFonts w:hint="eastAsia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otherwise ΔP</w:t>
      </w:r>
      <w:r>
        <w:rPr>
          <w:highlight w:val="none"/>
          <w:vertAlign w:val="subscript"/>
        </w:rPr>
        <w:t>PowerClass</w:t>
      </w:r>
      <w:r>
        <w:rPr>
          <w:highlight w:val="none"/>
        </w:rPr>
        <w:t xml:space="preserve"> = 0 dB;</w:t>
      </w:r>
    </w:p>
    <w:p>
      <w:pPr>
        <w:pStyle w:val="109"/>
        <w:rPr>
          <w:highlight w:val="none"/>
        </w:rPr>
      </w:pPr>
      <w:r>
        <w:rPr>
          <w:highlight w:val="none"/>
        </w:rPr>
        <w:t>∆T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is the additional tolerance for serving cell c as specified in 6.2A.4.0.2 for NR CA, clause 6.2C.2 for SUL, or TS 38.101-3 [4] clause 6.2B.4.2 for EN-DC ;  = 0 dB otherwise; In case the UE supports more than one of band combinations for CA, SUL or DC, and an operating band belongs to more than one band combinations then</w:t>
      </w:r>
    </w:p>
    <w:p>
      <w:pPr>
        <w:pStyle w:val="110"/>
        <w:rPr>
          <w:highlight w:val="none"/>
        </w:rPr>
      </w:pPr>
      <w:r>
        <w:rPr>
          <w:highlight w:val="none"/>
        </w:rPr>
        <w:t>a)</w:t>
      </w:r>
      <w:r>
        <w:rPr>
          <w:highlight w:val="none"/>
        </w:rPr>
        <w:tab/>
      </w:r>
      <w:r>
        <w:rPr>
          <w:highlight w:val="none"/>
        </w:rPr>
        <w:t>When the operating band frequency range is ≤ 1 GHz, the applicable additional ∆T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shall be the average value for all band combinations defined in clause 6.2A.4.0.2, 6.2C.2 in this specification and 6.2B.4.2 in TS 38.101-3 [4], truncated to one decimal place that apply for that operating band among the supported band combinations. In case there is a harmonic relation between low band UL and high band DL, then the maximum ∆T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among the different supported band combinations involving such band shall be applied</w:t>
      </w:r>
    </w:p>
    <w:p>
      <w:pPr>
        <w:pStyle w:val="109"/>
        <w:rPr>
          <w:highlight w:val="none"/>
        </w:rPr>
      </w:pPr>
      <w:r>
        <w:rPr>
          <w:highlight w:val="none"/>
        </w:rPr>
        <w:t>b)</w:t>
      </w:r>
      <w:r>
        <w:rPr>
          <w:highlight w:val="none"/>
        </w:rPr>
        <w:tab/>
      </w:r>
      <w:r>
        <w:rPr>
          <w:highlight w:val="none"/>
        </w:rPr>
        <w:t>When the operating band frequency range is &gt; 1 GHz, the applicable additional ∆T</w:t>
      </w:r>
      <w:r>
        <w:rPr>
          <w:highlight w:val="none"/>
          <w:vertAlign w:val="subscript"/>
        </w:rPr>
        <w:t>IB,c</w:t>
      </w:r>
      <w:r>
        <w:rPr>
          <w:highlight w:val="none"/>
        </w:rPr>
        <w:t xml:space="preserve"> shall be the maximum value for all band combinations defined in clause 6.2A.0.4.2, 6.2C.2 in this specification and 6.2B.4.2 in TS 38.101-3 [4] for the applicable operating bands.</w:t>
      </w:r>
    </w:p>
    <w:p>
      <w:pPr>
        <w:pStyle w:val="109"/>
        <w:rPr>
          <w:highlight w:val="none"/>
        </w:rPr>
      </w:pPr>
      <w:r>
        <w:rPr>
          <w:highlight w:val="none"/>
        </w:rPr>
        <w:t>∆T</w:t>
      </w:r>
      <w:r>
        <w:rPr>
          <w:highlight w:val="none"/>
          <w:vertAlign w:val="subscript"/>
        </w:rPr>
        <w:t>C,c</w:t>
      </w:r>
      <w:r>
        <w:rPr>
          <w:highlight w:val="none"/>
        </w:rPr>
        <w:t xml:space="preserve"> = 1.5dB when NOTE 3 in Table 6.2.1-1 in 38.101-1 applies for a serving cell c, otherwise ∆T</w:t>
      </w:r>
      <w:r>
        <w:rPr>
          <w:highlight w:val="none"/>
          <w:vertAlign w:val="subscript"/>
        </w:rPr>
        <w:t>C,c</w:t>
      </w:r>
      <w:r>
        <w:rPr>
          <w:highlight w:val="none"/>
        </w:rPr>
        <w:t xml:space="preserve">  = 0dB;</w:t>
      </w:r>
    </w:p>
    <w:p>
      <w:pPr>
        <w:pStyle w:val="109"/>
        <w:rPr>
          <w:highlight w:val="none"/>
          <w:lang w:eastAsia="zh-CN"/>
        </w:rPr>
      </w:pPr>
      <w:r>
        <w:rPr>
          <w:highlight w:val="none"/>
        </w:rPr>
        <w:t>MPRc and A-MPRc for serving cell c are specified in subclause 6.2.2.3 and subclause 6.2.3.3</w:t>
      </w:r>
      <w:r>
        <w:rPr>
          <w:highlight w:val="none"/>
          <w:lang w:eastAsia="zh-CN"/>
        </w:rPr>
        <w:t>, respectively; ∆MPR</w:t>
      </w:r>
      <w:r>
        <w:rPr>
          <w:highlight w:val="none"/>
          <w:vertAlign w:val="subscript"/>
          <w:lang w:eastAsia="zh-CN"/>
        </w:rPr>
        <w:t>c</w:t>
      </w:r>
      <w:r>
        <w:rPr>
          <w:highlight w:val="none"/>
          <w:lang w:eastAsia="zh-CN"/>
        </w:rPr>
        <w:t xml:space="preserve"> for serving cell c is specified in clause 6.2.2.</w:t>
      </w:r>
    </w:p>
    <w:p>
      <w:pPr>
        <w:pStyle w:val="109"/>
        <w:rPr>
          <w:highlight w:val="none"/>
        </w:rPr>
      </w:pPr>
      <w:r>
        <w:rPr>
          <w:highlight w:val="none"/>
        </w:rPr>
        <w:t>∆T</w:t>
      </w:r>
      <w:r>
        <w:rPr>
          <w:highlight w:val="none"/>
          <w:vertAlign w:val="subscript"/>
        </w:rPr>
        <w:t>RxSRS</w:t>
      </w:r>
      <w:r>
        <w:rPr>
          <w:highlight w:val="none"/>
        </w:rPr>
        <w:t xml:space="preserve"> is applied when UE transmits SRS to other than first SRS port when the </w:t>
      </w:r>
      <w:r>
        <w:rPr>
          <w:i/>
          <w:highlight w:val="none"/>
        </w:rPr>
        <w:t>SRS-TxSwitch</w:t>
      </w:r>
      <w:r>
        <w:rPr>
          <w:highlight w:val="none"/>
        </w:rPr>
        <w:t xml:space="preserve"> capability is indicated as  '1T2R', '1T4R' or, '1T4R/2T4R' with UE configured with 4 SRS resources in the SRS resource set, and when UE transmits SRS to other than first or second SRS port when the </w:t>
      </w:r>
      <w:r>
        <w:rPr>
          <w:i/>
          <w:highlight w:val="none"/>
        </w:rPr>
        <w:t xml:space="preserve">SRS-TxSwitch </w:t>
      </w:r>
      <w:r>
        <w:rPr>
          <w:highlight w:val="none"/>
        </w:rPr>
        <w:t>capability</w:t>
      </w:r>
      <w:r>
        <w:rPr>
          <w:i/>
          <w:highlight w:val="none"/>
        </w:rPr>
        <w:t xml:space="preserve"> </w:t>
      </w:r>
      <w:r>
        <w:rPr>
          <w:highlight w:val="none"/>
        </w:rPr>
        <w:t>is indicated as</w:t>
      </w:r>
      <w:r>
        <w:rPr>
          <w:i/>
          <w:highlight w:val="none"/>
        </w:rPr>
        <w:t xml:space="preserve"> </w:t>
      </w:r>
      <w:r>
        <w:rPr>
          <w:highlight w:val="none"/>
        </w:rPr>
        <w:t xml:space="preserve"> '2T4R' or '1T4R/2T4R' with the UE configured with 2 SRS resources in the SRS resource set. The value of ∆T</w:t>
      </w:r>
      <w:r>
        <w:rPr>
          <w:highlight w:val="none"/>
          <w:vertAlign w:val="subscript"/>
        </w:rPr>
        <w:t>RxSRS</w:t>
      </w:r>
      <w:r>
        <w:rPr>
          <w:highlight w:val="none"/>
        </w:rPr>
        <w:t xml:space="preserve"> is 4.5dB for n79 and 3 dB for bands whose F</w:t>
      </w:r>
      <w:r>
        <w:rPr>
          <w:highlight w:val="none"/>
          <w:vertAlign w:val="subscript"/>
        </w:rPr>
        <w:t>UL_high</w:t>
      </w:r>
      <w:r>
        <w:rPr>
          <w:highlight w:val="none"/>
        </w:rPr>
        <w:t xml:space="preserve"> is lower than the F</w:t>
      </w:r>
      <w:r>
        <w:rPr>
          <w:highlight w:val="none"/>
          <w:vertAlign w:val="subscript"/>
        </w:rPr>
        <w:t xml:space="preserve">UL_low  </w:t>
      </w:r>
      <w:r>
        <w:rPr>
          <w:highlight w:val="none"/>
        </w:rPr>
        <w:t>of n79.</w:t>
      </w:r>
    </w:p>
    <w:p>
      <w:pPr>
        <w:pStyle w:val="109"/>
        <w:rPr>
          <w:highlight w:val="none"/>
        </w:rPr>
      </w:pPr>
      <w:r>
        <w:rPr>
          <w:highlight w:val="none"/>
        </w:rPr>
        <w:t>For other SRS transmissions ∆T</w:t>
      </w:r>
      <w:r>
        <w:rPr>
          <w:highlight w:val="none"/>
          <w:vertAlign w:val="subscript"/>
        </w:rPr>
        <w:t>RxSRS</w:t>
      </w:r>
      <w:r>
        <w:rPr>
          <w:highlight w:val="none"/>
        </w:rPr>
        <w:t xml:space="preserve"> is zero;</w:t>
      </w:r>
    </w:p>
    <w:p>
      <w:pPr>
        <w:pStyle w:val="109"/>
        <w:rPr>
          <w:highlight w:val="none"/>
          <w:lang w:eastAsia="zh-CN"/>
        </w:rPr>
      </w:pPr>
      <w:r>
        <w:rPr>
          <w:highlight w:val="none"/>
          <w:lang w:eastAsia="zh-CN"/>
        </w:rPr>
        <w:t>P-MPR</w:t>
      </w:r>
      <w:r>
        <w:rPr>
          <w:highlight w:val="none"/>
          <w:vertAlign w:val="subscript"/>
          <w:lang w:eastAsia="zh-CN"/>
        </w:rPr>
        <w:t>c</w:t>
      </w:r>
      <w:r>
        <w:rPr>
          <w:highlight w:val="none"/>
          <w:lang w:eastAsia="zh-CN"/>
        </w:rPr>
        <w:t xml:space="preserve"> is the allowed maximum output power reduction for</w:t>
      </w:r>
    </w:p>
    <w:p>
      <w:pPr>
        <w:pStyle w:val="110"/>
        <w:rPr>
          <w:highlight w:val="none"/>
          <w:lang w:eastAsia="zh-CN"/>
        </w:rPr>
      </w:pPr>
      <w:r>
        <w:rPr>
          <w:highlight w:val="none"/>
          <w:lang w:eastAsia="zh-CN"/>
        </w:rPr>
        <w:t>a)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ensuring compliance with applicable electromagnetic energy absorption requirements and addressing unwanted emissions / self defence requirements in case of simultaneous transmissions on multiple RAT(s) for scenarios not in scope of 3GPP RAN specifications;</w:t>
      </w:r>
    </w:p>
    <w:p>
      <w:pPr>
        <w:pStyle w:val="110"/>
        <w:rPr>
          <w:highlight w:val="none"/>
          <w:lang w:eastAsia="zh-CN"/>
        </w:rPr>
      </w:pPr>
      <w:r>
        <w:rPr>
          <w:highlight w:val="none"/>
          <w:lang w:eastAsia="zh-CN"/>
        </w:rPr>
        <w:t>b)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ensuring compliance with applicable electromagnetic energy absorption requirements in case of proximity detection is used to address such requirements that require a lower maximum output power.</w:t>
      </w:r>
    </w:p>
    <w:p>
      <w:pPr>
        <w:pStyle w:val="109"/>
        <w:rPr>
          <w:highlight w:val="none"/>
          <w:lang w:eastAsia="zh-CN"/>
        </w:rPr>
      </w:pPr>
      <w:r>
        <w:rPr>
          <w:highlight w:val="none"/>
          <w:lang w:eastAsia="zh-CN"/>
        </w:rPr>
        <w:t>The UE shall apply P-MPR</w:t>
      </w:r>
      <w:r>
        <w:rPr>
          <w:highlight w:val="none"/>
          <w:vertAlign w:val="subscript"/>
          <w:lang w:eastAsia="zh-CN"/>
        </w:rPr>
        <w:t>c</w:t>
      </w:r>
      <w:r>
        <w:rPr>
          <w:highlight w:val="none"/>
          <w:lang w:eastAsia="zh-CN"/>
        </w:rPr>
        <w:t xml:space="preserve"> for serving cell c only for the above cases. For UE conducted conformance testing P-MPR</w:t>
      </w:r>
      <w:r>
        <w:rPr>
          <w:highlight w:val="none"/>
          <w:vertAlign w:val="subscript"/>
          <w:lang w:eastAsia="zh-CN"/>
        </w:rPr>
        <w:t>c</w:t>
      </w:r>
      <w:r>
        <w:rPr>
          <w:highlight w:val="none"/>
          <w:lang w:eastAsia="zh-CN"/>
        </w:rPr>
        <w:t xml:space="preserve"> shall be 0 dB</w:t>
      </w:r>
    </w:p>
    <w:p>
      <w:pPr>
        <w:pStyle w:val="90"/>
        <w:rPr>
          <w:highlight w:val="none"/>
          <w:lang w:eastAsia="zh-CN"/>
        </w:rPr>
      </w:pPr>
      <w:r>
        <w:rPr>
          <w:highlight w:val="none"/>
          <w:lang w:eastAsia="zh-CN"/>
        </w:rPr>
        <w:t>NOTE 1: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P-MPR</w:t>
      </w:r>
      <w:r>
        <w:rPr>
          <w:highlight w:val="none"/>
          <w:vertAlign w:val="subscript"/>
          <w:lang w:eastAsia="zh-CN"/>
        </w:rPr>
        <w:t>c</w:t>
      </w:r>
      <w:r>
        <w:rPr>
          <w:highlight w:val="none"/>
          <w:lang w:eastAsia="zh-CN"/>
        </w:rPr>
        <w:t xml:space="preserve"> was introduced in the P</w:t>
      </w:r>
      <w:r>
        <w:rPr>
          <w:highlight w:val="none"/>
          <w:vertAlign w:val="subscript"/>
          <w:lang w:eastAsia="zh-CN"/>
        </w:rPr>
        <w:t>CMAX,f,c</w:t>
      </w:r>
      <w:r>
        <w:rPr>
          <w:highlight w:val="none"/>
          <w:lang w:eastAsia="zh-CN"/>
        </w:rPr>
        <w:t xml:space="preserve"> equation such that the UE can report to the eNB the available maximum output transmit power. This information can be used by the eNB for scheduling decisions.</w:t>
      </w:r>
    </w:p>
    <w:p>
      <w:pPr>
        <w:pStyle w:val="90"/>
        <w:rPr>
          <w:highlight w:val="none"/>
        </w:rPr>
      </w:pPr>
      <w:r>
        <w:rPr>
          <w:highlight w:val="none"/>
        </w:rPr>
        <w:t>NOTE 2:</w:t>
      </w:r>
      <w:r>
        <w:rPr>
          <w:highlight w:val="none"/>
        </w:rPr>
        <w:tab/>
      </w:r>
      <w:r>
        <w:rPr>
          <w:highlight w:val="none"/>
        </w:rPr>
        <w:t>P-MPR</w:t>
      </w:r>
      <w:r>
        <w:rPr>
          <w:highlight w:val="none"/>
          <w:vertAlign w:val="subscript"/>
        </w:rPr>
        <w:t>c</w:t>
      </w:r>
      <w:r>
        <w:rPr>
          <w:highlight w:val="none"/>
        </w:rPr>
        <w:t xml:space="preserve"> may impact the maximum uplink performance for the selected UL transmission path.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T</w:t>
      </w:r>
      <w:r>
        <w:rPr>
          <w:highlight w:val="none"/>
          <w:vertAlign w:val="subscript"/>
          <w:lang w:eastAsia="zh-CN"/>
        </w:rPr>
        <w:t>REF</w:t>
      </w:r>
      <w:r>
        <w:rPr>
          <w:highlight w:val="none"/>
          <w:lang w:eastAsia="zh-CN"/>
        </w:rPr>
        <w:t xml:space="preserve"> and T</w:t>
      </w:r>
      <w:r>
        <w:rPr>
          <w:highlight w:val="none"/>
          <w:vertAlign w:val="subscript"/>
          <w:lang w:eastAsia="zh-CN"/>
        </w:rPr>
        <w:t>eval</w:t>
      </w:r>
      <w:r>
        <w:rPr>
          <w:highlight w:val="none"/>
          <w:lang w:eastAsia="zh-CN"/>
        </w:rPr>
        <w:t xml:space="preserve"> are specified in Table 6.2.4.3-1. For each T</w:t>
      </w:r>
      <w:r>
        <w:rPr>
          <w:highlight w:val="none"/>
          <w:vertAlign w:val="subscript"/>
          <w:lang w:eastAsia="zh-CN"/>
        </w:rPr>
        <w:t>REF</w:t>
      </w:r>
      <w:r>
        <w:rPr>
          <w:highlight w:val="none"/>
          <w:lang w:eastAsia="zh-CN"/>
        </w:rPr>
        <w:t>, the P</w:t>
      </w:r>
      <w:r>
        <w:rPr>
          <w:highlight w:val="none"/>
          <w:vertAlign w:val="subscript"/>
          <w:lang w:eastAsia="zh-CN"/>
        </w:rPr>
        <w:t>CMAX,L,c</w:t>
      </w:r>
      <w:r>
        <w:rPr>
          <w:highlight w:val="none"/>
          <w:lang w:eastAsia="zh-CN"/>
        </w:rPr>
        <w:t xml:space="preserve"> for serving cell c are evaluated per T</w:t>
      </w:r>
      <w:r>
        <w:rPr>
          <w:highlight w:val="none"/>
          <w:vertAlign w:val="subscript"/>
          <w:lang w:eastAsia="zh-CN"/>
        </w:rPr>
        <w:t>eval</w:t>
      </w:r>
      <w:r>
        <w:rPr>
          <w:highlight w:val="none"/>
          <w:lang w:eastAsia="zh-CN"/>
        </w:rPr>
        <w:t xml:space="preserve"> and given by the minimum value taken over the transmission(s) within the T</w:t>
      </w:r>
      <w:r>
        <w:rPr>
          <w:highlight w:val="none"/>
          <w:vertAlign w:val="subscript"/>
          <w:lang w:eastAsia="zh-CN"/>
        </w:rPr>
        <w:t>eval</w:t>
      </w:r>
      <w:r>
        <w:rPr>
          <w:highlight w:val="none"/>
          <w:lang w:eastAsia="zh-CN"/>
        </w:rPr>
        <w:t>; the minimum P</w:t>
      </w:r>
      <w:r>
        <w:rPr>
          <w:highlight w:val="none"/>
          <w:vertAlign w:val="subscript"/>
          <w:lang w:eastAsia="zh-CN"/>
        </w:rPr>
        <w:t>CMAX_L,f,c</w:t>
      </w:r>
      <w:r>
        <w:rPr>
          <w:highlight w:val="none"/>
          <w:lang w:eastAsia="zh-CN"/>
        </w:rPr>
        <w:t xml:space="preserve"> over one or more T</w:t>
      </w:r>
      <w:r>
        <w:rPr>
          <w:highlight w:val="none"/>
          <w:vertAlign w:val="subscript"/>
          <w:lang w:eastAsia="zh-CN"/>
        </w:rPr>
        <w:t>eval</w:t>
      </w:r>
      <w:r>
        <w:rPr>
          <w:highlight w:val="none"/>
          <w:lang w:eastAsia="zh-CN"/>
        </w:rPr>
        <w:t xml:space="preserve"> is then applied for the entire T</w:t>
      </w:r>
      <w:r>
        <w:rPr>
          <w:highlight w:val="none"/>
          <w:vertAlign w:val="subscript"/>
          <w:lang w:eastAsia="zh-CN"/>
        </w:rPr>
        <w:t>REF</w:t>
      </w:r>
    </w:p>
    <w:p>
      <w:pPr>
        <w:pStyle w:val="89"/>
        <w:rPr>
          <w:highlight w:val="none"/>
        </w:rPr>
      </w:pPr>
      <w:r>
        <w:rPr>
          <w:highlight w:val="none"/>
        </w:rPr>
        <w:t>Table 6.2.4.3-1: Evaluation and reference periods for Pcmax</w:t>
      </w:r>
    </w:p>
    <w:tbl>
      <w:tblPr>
        <w:tblStyle w:val="63"/>
        <w:tblW w:w="7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23"/>
        <w:gridCol w:w="2122"/>
        <w:gridCol w:w="3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eastAsia="Calibri"/>
                <w:b/>
                <w:bCs/>
                <w:color w:val="000000"/>
                <w:kern w:val="2"/>
                <w:sz w:val="21"/>
                <w:szCs w:val="22"/>
                <w:highlight w:val="none"/>
              </w:rPr>
            </w:pPr>
            <w:r>
              <w:rPr>
                <w:rFonts w:eastAsia="Calibri"/>
                <w:b/>
                <w:bCs/>
                <w:color w:val="000000"/>
                <w:kern w:val="2"/>
                <w:sz w:val="21"/>
                <w:szCs w:val="22"/>
                <w:highlight w:val="none"/>
              </w:rPr>
              <w:t>T</w:t>
            </w:r>
            <w:r>
              <w:rPr>
                <w:rFonts w:eastAsia="Calibri"/>
                <w:b/>
                <w:bCs/>
                <w:color w:val="000000"/>
                <w:kern w:val="2"/>
                <w:sz w:val="21"/>
                <w:szCs w:val="22"/>
                <w:highlight w:val="none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eastAsia="Calibri"/>
                <w:b/>
                <w:bCs/>
                <w:color w:val="000000"/>
                <w:kern w:val="2"/>
                <w:sz w:val="21"/>
                <w:szCs w:val="22"/>
                <w:highlight w:val="none"/>
              </w:rPr>
            </w:pPr>
            <w:r>
              <w:rPr>
                <w:rFonts w:eastAsia="Calibri"/>
                <w:b/>
                <w:bCs/>
                <w:color w:val="000000"/>
                <w:kern w:val="2"/>
                <w:sz w:val="21"/>
                <w:szCs w:val="22"/>
                <w:highlight w:val="none"/>
              </w:rPr>
              <w:t>T</w:t>
            </w:r>
            <w:r>
              <w:rPr>
                <w:rFonts w:eastAsia="Calibri"/>
                <w:b/>
                <w:bCs/>
                <w:color w:val="000000"/>
                <w:kern w:val="2"/>
                <w:sz w:val="21"/>
                <w:szCs w:val="22"/>
                <w:highlight w:val="none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eastAsia="Calibri"/>
                <w:b/>
                <w:bCs/>
                <w:color w:val="000000"/>
                <w:kern w:val="2"/>
                <w:sz w:val="21"/>
                <w:szCs w:val="22"/>
                <w:highlight w:val="none"/>
              </w:rPr>
            </w:pPr>
            <w:r>
              <w:rPr>
                <w:rFonts w:eastAsia="Calibri"/>
                <w:b/>
                <w:bCs/>
                <w:color w:val="000000"/>
                <w:kern w:val="2"/>
                <w:sz w:val="21"/>
                <w:szCs w:val="22"/>
                <w:highlight w:val="none"/>
              </w:rPr>
              <w:t>T</w:t>
            </w:r>
            <w:r>
              <w:rPr>
                <w:rFonts w:eastAsia="Calibri"/>
                <w:b/>
                <w:bCs/>
                <w:color w:val="000000"/>
                <w:kern w:val="2"/>
                <w:sz w:val="21"/>
                <w:szCs w:val="22"/>
                <w:highlight w:val="none"/>
                <w:vertAlign w:val="subscript"/>
              </w:rPr>
              <w:t xml:space="preserve">eval </w:t>
            </w:r>
            <w:r>
              <w:rPr>
                <w:rFonts w:eastAsia="Calibri"/>
                <w:b/>
                <w:bCs/>
                <w:color w:val="000000"/>
                <w:kern w:val="2"/>
                <w:sz w:val="21"/>
                <w:szCs w:val="22"/>
                <w:highlight w:val="none"/>
              </w:rPr>
              <w:t>with frequency hopping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Arial" w:hAnsi="Arial" w:eastAsia="Calibri" w:cs="Arial"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ascii="Arial" w:hAnsi="Arial" w:eastAsia="Calibri" w:cs="Arial"/>
                <w:color w:val="000000"/>
                <w:kern w:val="2"/>
                <w:sz w:val="18"/>
                <w:szCs w:val="18"/>
                <w:highlight w:val="none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Arial" w:hAnsi="Arial" w:eastAsia="Calibri" w:cs="Arial"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ascii="Arial" w:hAnsi="Arial" w:eastAsia="Calibri" w:cs="Arial"/>
                <w:color w:val="000000"/>
                <w:kern w:val="2"/>
                <w:sz w:val="18"/>
                <w:szCs w:val="18"/>
                <w:highlight w:val="none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after="0"/>
              <w:jc w:val="center"/>
              <w:rPr>
                <w:rFonts w:ascii="Arial" w:hAnsi="Arial" w:eastAsia="Calibri" w:cs="Arial"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ascii="Arial" w:hAnsi="Arial" w:eastAsia="Calibri" w:cs="Arial"/>
                <w:color w:val="000000"/>
                <w:kern w:val="2"/>
                <w:sz w:val="18"/>
                <w:szCs w:val="18"/>
                <w:highlight w:val="none"/>
              </w:rPr>
              <w:t>Min(</w:t>
            </w:r>
            <w:r>
              <w:rPr>
                <w:rFonts w:ascii="Arial" w:hAnsi="Arial" w:eastAsia="Calibri" w:cs="Arial"/>
                <w:i/>
                <w:iCs/>
                <w:color w:val="000000"/>
                <w:kern w:val="2"/>
                <w:sz w:val="18"/>
                <w:szCs w:val="18"/>
                <w:highlight w:val="none"/>
              </w:rPr>
              <w:t>T</w:t>
            </w:r>
            <w:r>
              <w:rPr>
                <w:rFonts w:ascii="Arial" w:hAnsi="Arial" w:eastAsia="Calibri" w:cs="Arial"/>
                <w:i/>
                <w:iCs/>
                <w:color w:val="000000"/>
                <w:kern w:val="2"/>
                <w:sz w:val="18"/>
                <w:szCs w:val="18"/>
                <w:highlight w:val="none"/>
                <w:vertAlign w:val="subscript"/>
              </w:rPr>
              <w:t>no_hopping</w:t>
            </w:r>
            <w:r>
              <w:rPr>
                <w:rFonts w:ascii="Arial" w:hAnsi="Arial" w:eastAsia="Calibri" w:cs="Arial"/>
                <w:color w:val="000000"/>
                <w:kern w:val="2"/>
                <w:sz w:val="18"/>
                <w:szCs w:val="18"/>
                <w:highlight w:val="none"/>
              </w:rPr>
              <w:t>, Physical Channel Length)</w:t>
            </w:r>
          </w:p>
        </w:tc>
      </w:tr>
    </w:tbl>
    <w:p>
      <w:pPr>
        <w:rPr>
          <w:highlight w:val="none"/>
          <w:lang w:eastAsia="zh-CN"/>
        </w:rPr>
      </w:pP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The measured configured maximum output power P</w:t>
      </w:r>
      <w:r>
        <w:rPr>
          <w:highlight w:val="none"/>
          <w:vertAlign w:val="subscript"/>
          <w:lang w:eastAsia="zh-CN"/>
        </w:rPr>
        <w:t>UMAX,f,c</w:t>
      </w:r>
      <w:r>
        <w:rPr>
          <w:highlight w:val="none"/>
          <w:lang w:eastAsia="zh-CN"/>
        </w:rPr>
        <w:t xml:space="preserve"> shall be within the following bounds:</w:t>
      </w:r>
    </w:p>
    <w:p>
      <w:pPr>
        <w:pStyle w:val="96"/>
        <w:jc w:val="center"/>
        <w:rPr>
          <w:highlight w:val="none"/>
          <w:lang w:eastAsia="zh-CN"/>
        </w:rPr>
      </w:pPr>
      <w:r>
        <w:rPr>
          <w:highlight w:val="none"/>
          <w:lang w:eastAsia="zh-CN"/>
        </w:rPr>
        <w:t>P</w:t>
      </w:r>
      <w:r>
        <w:rPr>
          <w:highlight w:val="none"/>
          <w:vertAlign w:val="subscript"/>
          <w:lang w:eastAsia="zh-CN"/>
        </w:rPr>
        <w:t>CMAX_L,f,c</w:t>
      </w:r>
      <w:r>
        <w:rPr>
          <w:highlight w:val="none"/>
          <w:lang w:eastAsia="zh-CN"/>
        </w:rPr>
        <w:t xml:space="preserve">  –  MAX{T</w:t>
      </w:r>
      <w:r>
        <w:rPr>
          <w:highlight w:val="none"/>
          <w:vertAlign w:val="subscript"/>
          <w:lang w:eastAsia="zh-CN"/>
        </w:rPr>
        <w:t>L,c</w:t>
      </w:r>
      <w:r>
        <w:rPr>
          <w:highlight w:val="none"/>
          <w:lang w:eastAsia="zh-CN"/>
        </w:rPr>
        <w:t>, T(P</w:t>
      </w:r>
      <w:r>
        <w:rPr>
          <w:highlight w:val="none"/>
          <w:vertAlign w:val="subscript"/>
          <w:lang w:eastAsia="zh-CN"/>
        </w:rPr>
        <w:t>CMAX_L,f,c</w:t>
      </w:r>
      <w:r>
        <w:rPr>
          <w:highlight w:val="none"/>
          <w:lang w:eastAsia="zh-CN"/>
        </w:rPr>
        <w:t>)}  ≤  P</w:t>
      </w:r>
      <w:r>
        <w:rPr>
          <w:highlight w:val="none"/>
          <w:vertAlign w:val="subscript"/>
          <w:lang w:eastAsia="zh-CN"/>
        </w:rPr>
        <w:t>UMAX,f,c</w:t>
      </w:r>
      <w:r>
        <w:rPr>
          <w:highlight w:val="none"/>
          <w:lang w:eastAsia="zh-CN"/>
        </w:rPr>
        <w:t xml:space="preserve">  ≤  P</w:t>
      </w:r>
      <w:r>
        <w:rPr>
          <w:highlight w:val="none"/>
          <w:vertAlign w:val="subscript"/>
          <w:lang w:eastAsia="zh-CN"/>
        </w:rPr>
        <w:t>CMAX_H,f,c</w:t>
      </w:r>
      <w:r>
        <w:rPr>
          <w:highlight w:val="none"/>
          <w:lang w:eastAsia="zh-CN"/>
        </w:rPr>
        <w:t xml:space="preserve">  +  T(P</w:t>
      </w:r>
      <w:r>
        <w:rPr>
          <w:highlight w:val="none"/>
          <w:vertAlign w:val="subscript"/>
          <w:lang w:eastAsia="zh-CN"/>
        </w:rPr>
        <w:t>CMAX_H,f,c</w:t>
      </w:r>
      <w:r>
        <w:rPr>
          <w:highlight w:val="none"/>
          <w:lang w:eastAsia="zh-CN"/>
        </w:rPr>
        <w:t>).</w:t>
      </w:r>
    </w:p>
    <w:p>
      <w:pPr>
        <w:rPr>
          <w:highlight w:val="none"/>
          <w:lang w:eastAsia="zh-CN"/>
        </w:rPr>
      </w:pPr>
      <w:r>
        <w:rPr>
          <w:highlight w:val="none"/>
          <w:lang w:eastAsia="zh-CN"/>
        </w:rPr>
        <w:t>where the tolerance T(P</w:t>
      </w:r>
      <w:r>
        <w:rPr>
          <w:highlight w:val="none"/>
          <w:vertAlign w:val="subscript"/>
          <w:lang w:eastAsia="zh-CN"/>
        </w:rPr>
        <w:t>CMAX,f,c</w:t>
      </w:r>
      <w:r>
        <w:rPr>
          <w:highlight w:val="none"/>
          <w:lang w:eastAsia="zh-CN"/>
        </w:rPr>
        <w:t>) for applicable values of P</w:t>
      </w:r>
      <w:r>
        <w:rPr>
          <w:highlight w:val="none"/>
          <w:vertAlign w:val="subscript"/>
          <w:lang w:eastAsia="zh-CN"/>
        </w:rPr>
        <w:t>CMAX,f,c</w:t>
      </w:r>
      <w:r>
        <w:rPr>
          <w:highlight w:val="none"/>
          <w:lang w:eastAsia="zh-CN"/>
        </w:rPr>
        <w:t xml:space="preserve"> is specified in Table 6.2.4.3-2. The tolerance T</w:t>
      </w:r>
      <w:r>
        <w:rPr>
          <w:highlight w:val="none"/>
          <w:vertAlign w:val="subscript"/>
          <w:lang w:eastAsia="zh-CN"/>
        </w:rPr>
        <w:t>L,c</w:t>
      </w:r>
      <w:r>
        <w:rPr>
          <w:highlight w:val="none"/>
          <w:lang w:eastAsia="zh-CN"/>
        </w:rPr>
        <w:t xml:space="preserve"> is the absolute value of the lower tolerance for the applicable operating band as specified in Table 6.2.1.3-1.</w:t>
      </w:r>
    </w:p>
    <w:p>
      <w:pPr>
        <w:pStyle w:val="89"/>
        <w:rPr>
          <w:highlight w:val="none"/>
          <w:lang w:eastAsia="zh-CN"/>
        </w:rPr>
      </w:pPr>
      <w:r>
        <w:rPr>
          <w:highlight w:val="none"/>
          <w:lang w:eastAsia="zh-CN"/>
        </w:rPr>
        <w:t>Table 6.2.4.3-2: P</w:t>
      </w:r>
      <w:r>
        <w:rPr>
          <w:highlight w:val="none"/>
          <w:vertAlign w:val="subscript"/>
          <w:lang w:eastAsia="zh-CN"/>
        </w:rPr>
        <w:t>CMAX</w:t>
      </w:r>
      <w:r>
        <w:rPr>
          <w:highlight w:val="none"/>
          <w:lang w:eastAsia="zh-CN"/>
        </w:rPr>
        <w:t xml:space="preserve"> tolerance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8"/>
        <w:gridCol w:w="2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2148" w:type="dxa"/>
            <w:shd w:val="clear" w:color="auto" w:fill="auto"/>
          </w:tcPr>
          <w:p>
            <w:pPr>
              <w:pStyle w:val="85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P</w:t>
            </w:r>
            <w:r>
              <w:rPr>
                <w:kern w:val="2"/>
                <w:szCs w:val="22"/>
                <w:highlight w:val="none"/>
                <w:vertAlign w:val="subscript"/>
              </w:rPr>
              <w:t>CMAX,f,c</w:t>
            </w:r>
            <w:r>
              <w:rPr>
                <w:kern w:val="2"/>
                <w:szCs w:val="22"/>
                <w:highlight w:val="none"/>
              </w:rPr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>
            <w:pPr>
              <w:pStyle w:val="85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Tolerance T(P</w:t>
            </w:r>
            <w:r>
              <w:rPr>
                <w:kern w:val="2"/>
                <w:szCs w:val="22"/>
                <w:highlight w:val="none"/>
                <w:vertAlign w:val="subscript"/>
              </w:rPr>
              <w:t>CMAX,f,c</w:t>
            </w:r>
            <w:r>
              <w:rPr>
                <w:kern w:val="2"/>
                <w:szCs w:val="22"/>
                <w:highlight w:val="none"/>
              </w:rPr>
              <w:t>)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2148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23 &lt; P</w:t>
            </w:r>
            <w:r>
              <w:rPr>
                <w:kern w:val="2"/>
                <w:szCs w:val="22"/>
                <w:highlight w:val="none"/>
                <w:vertAlign w:val="subscript"/>
              </w:rPr>
              <w:t>CMAX,c</w:t>
            </w:r>
            <w:r>
              <w:rPr>
                <w:kern w:val="2"/>
                <w:szCs w:val="22"/>
                <w:highlight w:val="none"/>
              </w:rPr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2148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21 ≤ P</w:t>
            </w:r>
            <w:r>
              <w:rPr>
                <w:kern w:val="2"/>
                <w:szCs w:val="22"/>
                <w:highlight w:val="none"/>
                <w:vertAlign w:val="subscript"/>
              </w:rPr>
              <w:t>CMAX,c</w:t>
            </w:r>
            <w:r>
              <w:rPr>
                <w:kern w:val="2"/>
                <w:szCs w:val="22"/>
                <w:highlight w:val="none"/>
              </w:rPr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2148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20 ≤ P</w:t>
            </w:r>
            <w:r>
              <w:rPr>
                <w:kern w:val="2"/>
                <w:szCs w:val="22"/>
                <w:highlight w:val="none"/>
                <w:vertAlign w:val="subscript"/>
              </w:rPr>
              <w:t>CMAX,c</w:t>
            </w:r>
            <w:r>
              <w:rPr>
                <w:kern w:val="2"/>
                <w:szCs w:val="22"/>
                <w:highlight w:val="none"/>
              </w:rPr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2148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19 ≤ P</w:t>
            </w:r>
            <w:r>
              <w:rPr>
                <w:kern w:val="2"/>
                <w:szCs w:val="22"/>
                <w:highlight w:val="none"/>
                <w:vertAlign w:val="subscript"/>
              </w:rPr>
              <w:t>CMAX,c</w:t>
            </w:r>
            <w:r>
              <w:rPr>
                <w:kern w:val="2"/>
                <w:szCs w:val="22"/>
                <w:highlight w:val="none"/>
              </w:rPr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2148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18 ≤ P</w:t>
            </w:r>
            <w:r>
              <w:rPr>
                <w:kern w:val="2"/>
                <w:szCs w:val="22"/>
                <w:highlight w:val="none"/>
                <w:vertAlign w:val="subscript"/>
              </w:rPr>
              <w:t>CMAX,c</w:t>
            </w:r>
            <w:r>
              <w:rPr>
                <w:kern w:val="2"/>
                <w:szCs w:val="22"/>
                <w:highlight w:val="none"/>
              </w:rPr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jc w:val="center"/>
        </w:trPr>
        <w:tc>
          <w:tcPr>
            <w:tcW w:w="2148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13 ≤ P</w:t>
            </w:r>
            <w:r>
              <w:rPr>
                <w:kern w:val="2"/>
                <w:szCs w:val="22"/>
                <w:highlight w:val="none"/>
                <w:vertAlign w:val="subscript"/>
              </w:rPr>
              <w:t>CMAX,c</w:t>
            </w:r>
            <w:r>
              <w:rPr>
                <w:kern w:val="2"/>
                <w:szCs w:val="22"/>
                <w:highlight w:val="none"/>
              </w:rPr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5.0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jc w:val="center"/>
        </w:trPr>
        <w:tc>
          <w:tcPr>
            <w:tcW w:w="2148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8 ≤ P</w:t>
            </w:r>
            <w:r>
              <w:rPr>
                <w:kern w:val="2"/>
                <w:szCs w:val="22"/>
                <w:highlight w:val="none"/>
                <w:vertAlign w:val="subscript"/>
              </w:rPr>
              <w:t>CMAX,c</w:t>
            </w:r>
            <w:r>
              <w:rPr>
                <w:kern w:val="2"/>
                <w:szCs w:val="22"/>
                <w:highlight w:val="none"/>
              </w:rPr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0" w:hRule="atLeast"/>
          <w:jc w:val="center"/>
        </w:trPr>
        <w:tc>
          <w:tcPr>
            <w:tcW w:w="2148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-40 ≤ P</w:t>
            </w:r>
            <w:r>
              <w:rPr>
                <w:kern w:val="2"/>
                <w:szCs w:val="22"/>
                <w:highlight w:val="none"/>
                <w:vertAlign w:val="subscript"/>
              </w:rPr>
              <w:t>CMAX,c</w:t>
            </w:r>
            <w:r>
              <w:rPr>
                <w:kern w:val="2"/>
                <w:szCs w:val="22"/>
                <w:highlight w:val="none"/>
              </w:rPr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>
            <w:pPr>
              <w:pStyle w:val="86"/>
              <w:rPr>
                <w:kern w:val="2"/>
                <w:szCs w:val="22"/>
                <w:highlight w:val="none"/>
                <w:lang w:eastAsia="zh-CN"/>
              </w:rPr>
            </w:pPr>
            <w:r>
              <w:rPr>
                <w:kern w:val="2"/>
                <w:szCs w:val="22"/>
                <w:highlight w:val="none"/>
              </w:rPr>
              <w:t>7.0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t>The normative reference for this requirement is TS 38.101-1 [2] clause 6.2.4.</w:t>
      </w:r>
    </w:p>
    <w:p>
      <w:pPr>
        <w:pStyle w:val="117"/>
        <w:ind w:left="0" w:firstLine="0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Coura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ourant">
    <w:panose1 w:val="02000509030000020004"/>
    <w:charset w:val="00"/>
    <w:family w:val="auto"/>
    <w:pitch w:val="default"/>
    <w:sig w:usb0="80000027" w:usb1="00000000" w:usb2="00000000" w:usb3="00000000" w:csb0="000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0A3C"/>
    <w:rsid w:val="00184A6E"/>
    <w:rsid w:val="00185DFA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D6196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4DD4"/>
    <w:rsid w:val="003934C4"/>
    <w:rsid w:val="003B7F32"/>
    <w:rsid w:val="003C3A46"/>
    <w:rsid w:val="003E1A36"/>
    <w:rsid w:val="003E5B3F"/>
    <w:rsid w:val="00410371"/>
    <w:rsid w:val="004242F1"/>
    <w:rsid w:val="00492CEB"/>
    <w:rsid w:val="004B75B7"/>
    <w:rsid w:val="004F072E"/>
    <w:rsid w:val="004F0A4A"/>
    <w:rsid w:val="005105DA"/>
    <w:rsid w:val="00511AEB"/>
    <w:rsid w:val="0051580D"/>
    <w:rsid w:val="00547111"/>
    <w:rsid w:val="00554328"/>
    <w:rsid w:val="005667F8"/>
    <w:rsid w:val="0058645F"/>
    <w:rsid w:val="00592D74"/>
    <w:rsid w:val="005C743F"/>
    <w:rsid w:val="005D04C6"/>
    <w:rsid w:val="005D0A1A"/>
    <w:rsid w:val="005E2C44"/>
    <w:rsid w:val="005F6348"/>
    <w:rsid w:val="00621188"/>
    <w:rsid w:val="006257ED"/>
    <w:rsid w:val="00634E17"/>
    <w:rsid w:val="006643B0"/>
    <w:rsid w:val="00665C47"/>
    <w:rsid w:val="00695808"/>
    <w:rsid w:val="006A3A1C"/>
    <w:rsid w:val="006A569D"/>
    <w:rsid w:val="006B1D2B"/>
    <w:rsid w:val="006B46FB"/>
    <w:rsid w:val="006E21FB"/>
    <w:rsid w:val="006E58AD"/>
    <w:rsid w:val="00710FA7"/>
    <w:rsid w:val="0071150B"/>
    <w:rsid w:val="0077668F"/>
    <w:rsid w:val="00791620"/>
    <w:rsid w:val="00792342"/>
    <w:rsid w:val="007977A8"/>
    <w:rsid w:val="007B0003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60CF5"/>
    <w:rsid w:val="009777D9"/>
    <w:rsid w:val="009866D8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50FDF"/>
    <w:rsid w:val="00C608CC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A2C17"/>
    <w:rsid w:val="00FB6386"/>
    <w:rsid w:val="01713581"/>
    <w:rsid w:val="05B81F42"/>
    <w:rsid w:val="08647CBC"/>
    <w:rsid w:val="09BC731E"/>
    <w:rsid w:val="134E5847"/>
    <w:rsid w:val="139B197A"/>
    <w:rsid w:val="15EF2677"/>
    <w:rsid w:val="19D83978"/>
    <w:rsid w:val="1A947944"/>
    <w:rsid w:val="1D1C6A18"/>
    <w:rsid w:val="203D61C3"/>
    <w:rsid w:val="21596C6D"/>
    <w:rsid w:val="22C00AC8"/>
    <w:rsid w:val="2BFA5CD9"/>
    <w:rsid w:val="2CA24D0B"/>
    <w:rsid w:val="2D381055"/>
    <w:rsid w:val="2F6B19AB"/>
    <w:rsid w:val="2FDA15D2"/>
    <w:rsid w:val="336D51A2"/>
    <w:rsid w:val="39185AE1"/>
    <w:rsid w:val="3A132704"/>
    <w:rsid w:val="3FF57365"/>
    <w:rsid w:val="465F3A92"/>
    <w:rsid w:val="476A3AE7"/>
    <w:rsid w:val="480E0F4D"/>
    <w:rsid w:val="4AF12904"/>
    <w:rsid w:val="4DC12B83"/>
    <w:rsid w:val="559A46A8"/>
    <w:rsid w:val="5710367B"/>
    <w:rsid w:val="5F9264CE"/>
    <w:rsid w:val="63CC0E2E"/>
    <w:rsid w:val="659F4B5E"/>
    <w:rsid w:val="70141632"/>
    <w:rsid w:val="75425FAE"/>
    <w:rsid w:val="79CC5AD3"/>
    <w:rsid w:val="7DCC4FDD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framePr/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435C57-35B7-47A1-9079-651AC30B7C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1426</Words>
  <Characters>8131</Characters>
  <Lines>67</Lines>
  <Paragraphs>19</Paragraphs>
  <TotalTime>0</TotalTime>
  <ScaleCrop>false</ScaleCrop>
  <LinksUpToDate>false</LinksUpToDate>
  <CharactersWithSpaces>9538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2021-08-02T11:10:10Z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